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257</w:t>
      </w:r>
    </w:p>
    <w:p>
      <w:r>
        <w:t>Bundesgericht (BGE), 2013-01-01, FR</w:t>
      </w:r>
    </w:p>
    <w:p>
      <w:r>
        <w:rPr>
          <w:b/>
        </w:rPr>
        <w:t xml:space="preserve">Quelle: </w:t>
      </w:r>
      <w:r>
        <w:t>https://mcp.opencaselaw.ch/entscheid/bge_139 III 257</w:t>
      </w:r>
    </w:p>
    <w:p>
      <w:r>
        <w:t>FR: ATF 139 III 257</w:t>
      </w:r>
    </w:p>
    <w:p>
      <w:r>
        <w:t>IT: DTF 139 III 257</w:t>
      </w:r>
    </w:p>
    <w:p>
      <w:pPr>
        <w:pStyle w:val="Heading2"/>
      </w:pPr>
      <w:r>
        <w:t>Regeste</w:t>
      </w:r>
    </w:p>
    <w:p>
      <w:r>
        <w:t>Regeste Art. 450e Abs. 4 ZGB; Anhörung der Person, die fürsorgerisch untergebracht wurde. Verpflichtung der gerichtlichen Beschwerdeinstanz, die betroffene Person persönlich anzuhören, selbst wenn Letztere bereits in erster Instanz von einer gerichtlichen Behörde angehört worden ist. Diese Verpflichtung rechtfertigt sich ebenso sehr durch das Fehlen des Erfordernisses, die Beschwerde zu begründen (Art. 450e Abs. 1 ZGB), wie durch die Notwendigkeit für die Beschwerdeinstanz, sich über die Situation des Betroffenen eine eigene Meinung zu bilden (E. 4).</w:t>
      </w:r>
    </w:p>
    <w:p>
      <w:pPr>
        <w:pStyle w:val="Heading2"/>
      </w:pPr>
      <w:r>
        <w:t>Erwägungen</w:t>
      </w:r>
    </w:p>
    <w:p>
      <w:r>
        <w:rPr>
          <w:b/>
        </w:rPr>
        <w:t>E. 4</w:t>
      </w:r>
    </w:p>
    <w:p>
      <w:r>
        <w:t>Le recourant reproche à la Chambre des curatelles de n'avoir pas procédé à son audition personnelle comme le lui impose l' art. 450e al. 4 CC .</w:t>
      </w:r>
    </w:p>
    <w:p>
      <w:r>
        <w:rPr>
          <w:b/>
        </w:rPr>
        <w:t>E. 4.1</w:t>
      </w:r>
    </w:p>
    <w:p>
      <w:r>
        <w:t>A cet égard, la Chambre cantonale a considéré qu'il en va de même pour l'expertise et pour l'audition personnelle. Si l' art. 450e al. 3 et 4 CC prévoit tant l'expertise que l'audition personnelle de l'intéressé, cela ne vaut, dans le canton de Vaud, dans lequel l'autorité de protection de l'adulte est une autorité judiciaire, que pour la première autorité judiciaire compétente, soit l'autorité de protection de l'adulte. En d'autres termes, ni l'audition personnelle ni l'expertise n'ont à être réitérées devant l'instance judiciaire de recours. Aucun élément du Message du Conseil fédéral n'exprime l'idée que deux juges successifs devraient procéder chacun à une audition personnelle. Elle se réfère à l'auteur THOMAS GEISER (in Basler Kommentar, Erwachsenenschutz, 2012, n° 25 ad art. 450e CC ), qui exclut ce cas de figure, et estime qu'il y a donc lieu d'interpréter l' art. 450e al. 4 CC contra litteram, en ce sens qu'une audition personnelle n'est pas nécessaire en deuxième instance.</w:t>
      </w:r>
    </w:p>
    <w:p>
      <w:r>
        <w:rPr>
          <w:b/>
        </w:rPr>
        <w:t>E. 4.2</w:t>
      </w:r>
    </w:p>
    <w:p>
      <w:r>
        <w:t>Sous l'empire du droit antérieur, en vigueur jusqu'au 31 décembre 2012, la décision de privation de liberté à des fins d'assistance BGE 139 III 257 S. 260 (ancien art. 397a CC ) était prise par une autorité de tutelle ou, en cas de péril en la demeure, par un autre office approprié (ancien art. 397b al. 1 CC ). Si l'autorité de tutelle avait ordonné la mesure, elle était compétente pour la lever; dans les autres cas, la compétence appartenait à l'établissement (ancien art. 397b al. 3 CC ). La personne en cause pouvait en appeler par écrit au juge (ancien art. 397d al. 1 et 2 CC : "Contrôle judiciaire"). Le droit fédéral imposait que, pour ce contrôle, le juge de première instance entende oralement la personne (ancien art. 397f al. 3 CC ). Selon la jurisprudence, cette audition personnelle prévue par l'ancien art. 397f al. 3 CC garantissait, d'une part, le droit d'être entendu ( art. 29 al. 2 Cst. ) sur le plan de la loi et, d'autre part, le droit à une audition personnelle, dans un domaine qui touche à un bien important et qui, pour y porter atteinte, exige une impression propre du juge ( ATF 115 II 129 ); la jurisprudence avait même exigé que l'ensemble du collège chargé du contrôle judiciaire doive entendre l'intéressé, ce qui a été abandonné dans le nouveau droit. Dans l'ancien droit, la procédure de recours n'était pas réglée par le droit fédéral. Dans un arrêt non publié (5A_564/2008 du 1 er octobre 2008 consid. 2.1), rendu dans une affaire vaudoise, le Tribunal fédéral avait jugé que l'ancien art. 397f al. 3 CC ne conférait pas à l'intéressé le droit d'être entendu oralement par le Tribunal cantonal.</w:t>
      </w:r>
    </w:p>
    <w:p>
      <w:r>
        <w:rPr>
          <w:b/>
        </w:rPr>
        <w:t>E. 4.3</w:t>
      </w:r>
    </w:p>
    <w:p>
      <w:r>
        <w:t>L'exigence de l'audition personnelle a été reprise dans le nouveau droit à l' art. 447 al. 2 CC pour la procédure devant l'autorité de protection de l'adulte, qui statue, normalement, sur le placement à des fins d'assistance et la libération ( art. 428 al. 1 CC ). Selon l' art. 447 al. 2 CC , en cas de placement à des fins d'assistance, la personne concernée est en général entendue par l'autorité de protection de l'adulte réunie en collège. Le Message du 28 juin 2006 du Conseil fédéral concernant la révision du code civil suisse (Protection de l'adulte, droit des personnes et droit de la filiation [ci-après: Message]) précise que, contrairement au droit actuel, la possibilité de déléguer l'audition à un membre de l'autorité est admise exceptionnellement (avec référence aux ATF 110 II 122 , ATF 110 II 124 consid. 4) et que l'on pourrait aussi renoncer à une audition personnelle si, par exemple, la personne concernée la refuse ou parce que sa réalisation est rendue impossible pour d'autres motifs (avec renvoi à l' ATF 116 II 406 ; Message, FF 2006 6712 ad art. 447). L'audition personnelle est également imposée à l'autorité de recours par l' art. 450e al. 4 1 re phrase CC. Aux termes de cette disposition, BGE 139 III 257 S. 261 l'instance judiciaire de recours, en règle générale réunie en collège, entend la personne concernée. Selon le Message, cette disposition correspond à l'ancien art. 397f al. 3 CC et à l' art. 447 al. 2 CC ; par ailleurs, toujours selon le Message, elle énonce clairement que l'autorité judiciaire de recours également doit, en règle générale, entendre la personne concernée en tant qu'autorité collégiale (Message, FF 2006 6719 ad art. 450e). Cette exigence de l'audition personnelle s'inscrit dans le cadre de la seule voie de recours prévue par le droit fédéral, qui est une voie de recours ordinaire conférant à l'instance de recours un pouvoir d'examen complet en fait et en droit ( art. 450a CC ), seule l'absence d'effet suspensif, justifiée par le fait que le placement est souvent ordonné dans une situation de crise et ne supporte donc aucune attente, lui donnant, dans cette mesure, le caractère d'une voie de droit extraordinaire (Message, FF 2006 6719 ad art. 450e). L'autorité de recours examine d'office la décision de première instance, en appliquant la maxime inquisitoire et la maxime d'office, en règle générale en se limitant seulement à l'étendue du recours, mais en allant au-delà si besoin est (Message, FF 2006 6715 ch. 2.3.3). L'élément décisif en faveur de l'interprétation littérale de la disposition litigieuse réside dans le fait que, en vertu de l' art. 450e al. 1 CC , le recours ne doit pas être motivé, même s'il doit être néanmoins formé par écrit (Message, FF 2006 6719 ad art. 450e). Si le recours n'a pas à être motivé, c'est parce que l'intéressé pourra exposer ses motifs oralement lors de son audition personnelle par l'autorité de recours. La question de savoir si l' art. 450e al. 1 CC s'applique également aux autres personnes ayant qualité pour recourir au sens de l' art. 450 al. 2 CC peut en l'espèce rester ouverte. L'audition personnelle de l'intéressé est de surcroît nécessaire pour permettre à l'autorité de recours de se forger sa propre opinion quant à la situation de l'intéressé, ce d'autant que celle-là a pu évoluer depuis la décision rendue en première instance. On relève en outre que le législateur n'a pas perdu de vue que, selon le droit cantonal, l'autorité de protection de l'enfant et de l'adulte peut être un tribunal ou un organe administratif puisqu'il a rappelé cette circonstance dans son Message quelques lignes plus haut, prévoyant que l'appel au juge - le "contrôle judiciaire" - contre une décision de placement prise par un médecin par exemple ( art. 439 CC ) peut être de la compétence de l'autorité de protection si elle est un tribunal, mais que, si elle est un organe administratif, le canton doit prévoir une compétence judiciaire BGE 139 III 257 S. 262 speciale, qui ne doit pas être l'instance de recours. On ne saurait donc en déduire que le législateur a méconnu ce point lorsqu'il a prévu que l'instance de contrôle judiciaire doit entendre l'intéressé en personne. La Chambre cantonale se réfère certes à THOMAS GEISER (op. cit., n° 25 ad art. 450e CC ) pour appuyer son point de vue. La citation est toutefois ambiguë. Les cantons peuvent prévoir une procédure judiciaire de recours comportant deux échelons (DANIEL STECK, in Erwachsenenschutz, 2013, n° 18 ad art. 443-450g et n° 10 ad art. 450 CC ), le droit fédéral n'imposant qu'une instance judiciaire de recours (Message, FF 2006 6715 ch. 2.3.3). Or, il n'est pas possible d'exclure, comme l'a compris DANIEL STECK (op. cit., n° 19 ad art. 450e CC ), que THOMAS GEISER ait envisagé là la possibilité de renoncer à l'audition personnelle devant la deuxième autorité de recours. Enfin, il ne s'impose pas de traiter l'expertise et l'audition personnelle en procédure de recours de manière identique. D'ailleurs, le Message précise expressément que si l'autorité de protection de l'adulte a déjà demandé une expertise indépendante, l'instance judiciaire de recours peut se baser sur celle-ci (Message, FF 2006 6719 ad art. 450e). La Chambre des curatelles n'ayant pas procédé à l'audition personnelle de l'intéressé, qui n'avait ni renoncé à son droit, ni n'était empêché pour quelque motif que ce soit, elle a violé l' art. 450e al. 4 1 re phrase CC. Il s'ensuit que l'arrêt attaqué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